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D2F" w:rsidRDefault="009B4D2F" w:rsidP="00E60CC0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9B4D2F" w:rsidRDefault="009B4D2F" w:rsidP="009B4D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B4D2F" w:rsidRDefault="009B4D2F" w:rsidP="009B4D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60CC0">
        <w:rPr>
          <w:rFonts w:ascii="Corbel" w:eastAsia="Corbel" w:hAnsi="Corbel" w:cs="Corbel"/>
          <w:i/>
          <w:sz w:val="24"/>
        </w:rPr>
        <w:t>2021-2023</w:t>
      </w:r>
    </w:p>
    <w:p w:rsidR="009B4D2F" w:rsidRDefault="009B4D2F" w:rsidP="009B4D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4D2F" w:rsidRDefault="009B4D2F" w:rsidP="009B4D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1728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60CC0">
        <w:rPr>
          <w:rFonts w:ascii="Corbel" w:eastAsia="Corbel" w:hAnsi="Corbel" w:cs="Corbel"/>
          <w:sz w:val="24"/>
        </w:rPr>
        <w:t>2021/2022</w:t>
      </w:r>
    </w:p>
    <w:p w:rsidR="009B4D2F" w:rsidRDefault="009B4D2F" w:rsidP="009B4D2F">
      <w:pPr>
        <w:spacing w:after="0" w:line="240" w:lineRule="auto"/>
        <w:rPr>
          <w:rFonts w:ascii="Corbel" w:hAnsi="Corbel"/>
          <w:sz w:val="24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pacing w:val="-3"/>
                <w:sz w:val="24"/>
                <w:szCs w:val="24"/>
              </w:rPr>
              <w:t>Prawo karne i prawo wykroczeń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MK26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Pr="00FE604D" w:rsidRDefault="0081728B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1728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9B4D2F" w:rsidTr="009B4D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:rsidR="009B4D2F" w:rsidRDefault="009B4D2F" w:rsidP="009B4D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4D2F" w:rsidRDefault="009B4D2F" w:rsidP="009B4D2F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4D2F" w:rsidRDefault="009B4D2F" w:rsidP="009B4D2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4D2F" w:rsidRDefault="009B4D2F" w:rsidP="009B4D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B4D2F" w:rsidTr="00E60C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4D2F" w:rsidTr="00E60C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  <w:r w:rsidR="00311B2B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9B4D2F" w:rsidRDefault="009B4D2F" w:rsidP="009B4D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4D2F" w:rsidRDefault="009B4D2F" w:rsidP="009B4D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E60CC0" w:rsidRDefault="00E60CC0" w:rsidP="009B4D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:rsidR="009B4D2F" w:rsidRDefault="00E60CC0" w:rsidP="009B4D2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9B4D2F" w:rsidRPr="00E60CC0">
        <w:rPr>
          <w:rFonts w:ascii="Corbel" w:eastAsia="MS Gothic" w:hAnsi="Corbel" w:cs="MS Gothic"/>
          <w:b w:val="0"/>
          <w:szCs w:val="24"/>
        </w:rPr>
        <w:t>x</w:t>
      </w:r>
      <w:r w:rsidR="009B4D2F" w:rsidRPr="00E60CC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</w:t>
      </w:r>
      <w:r w:rsidR="009B4D2F">
        <w:rPr>
          <w:rFonts w:ascii="Corbel" w:hAnsi="Corbel"/>
          <w:b w:val="0"/>
          <w:szCs w:val="24"/>
        </w:rPr>
        <w:t xml:space="preserve">zajęcia w formie tradycyjnej </w:t>
      </w:r>
    </w:p>
    <w:p w:rsidR="009B4D2F" w:rsidRDefault="009B4D2F" w:rsidP="009B4D2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60CC0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</w:p>
    <w:p w:rsidR="009B4D2F" w:rsidRDefault="009B4D2F" w:rsidP="009B4D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E60CC0" w:rsidRDefault="00E60CC0" w:rsidP="009B4D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E60CC0" w:rsidRDefault="00E60CC0" w:rsidP="009B4D2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4D2F" w:rsidTr="009B4D2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9B6ED1">
              <w:rPr>
                <w:rFonts w:ascii="Corbel" w:hAnsi="Corbel"/>
                <w:b w:val="0"/>
                <w:smallCaps w:val="0"/>
                <w:szCs w:val="24"/>
              </w:rPr>
              <w:t>Student powinien posiadać podstawowe wiadomości oraz znajomość bazowych pojęć z zakresu prawa</w:t>
            </w:r>
          </w:p>
        </w:tc>
      </w:tr>
    </w:tbl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</w:p>
    <w:p w:rsidR="009B4D2F" w:rsidRDefault="009B4D2F" w:rsidP="009B4D2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4D2F" w:rsidRDefault="009B4D2F" w:rsidP="009B4D2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9B4D2F" w:rsidRPr="009B6ED1" w:rsidTr="00367643">
        <w:tc>
          <w:tcPr>
            <w:tcW w:w="851" w:type="dxa"/>
            <w:vAlign w:val="center"/>
          </w:tcPr>
          <w:p w:rsidR="009B4D2F" w:rsidRPr="009B6ED1" w:rsidRDefault="009B4D2F" w:rsidP="0036764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6ED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9B4D2F" w:rsidRPr="009B6ED1" w:rsidRDefault="009B4D2F" w:rsidP="0036764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6ED1"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  <w:t xml:space="preserve">Wprowadzenie do problematyki prawa karnego i prawa wykroczeń, omówienie cech wspólnych i różnic </w:t>
            </w:r>
          </w:p>
        </w:tc>
      </w:tr>
      <w:tr w:rsidR="009B4D2F" w:rsidRPr="009B6ED1" w:rsidTr="00367643">
        <w:tc>
          <w:tcPr>
            <w:tcW w:w="851" w:type="dxa"/>
            <w:vAlign w:val="center"/>
          </w:tcPr>
          <w:p w:rsidR="009B4D2F" w:rsidRPr="009B6ED1" w:rsidRDefault="009B4D2F" w:rsidP="0036764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6E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B4D2F" w:rsidRPr="009B6ED1" w:rsidRDefault="009B4D2F" w:rsidP="0036764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6ED1">
              <w:rPr>
                <w:rFonts w:ascii="Corbel" w:hAnsi="Corbel"/>
                <w:b w:val="0"/>
                <w:sz w:val="24"/>
                <w:szCs w:val="24"/>
              </w:rPr>
              <w:t>Celem przedmiotu jest ukazanie studentom sposobu rozumowania i ułatwienie zrozumienia zagadnień z zakresu prawa karnego i prawa wykroczeń oraz zainteresowanie przedmiotem.</w:t>
            </w:r>
          </w:p>
        </w:tc>
      </w:tr>
      <w:tr w:rsidR="009B4D2F" w:rsidRPr="009B6ED1" w:rsidTr="00367643">
        <w:tc>
          <w:tcPr>
            <w:tcW w:w="851" w:type="dxa"/>
            <w:vAlign w:val="center"/>
          </w:tcPr>
          <w:p w:rsidR="009B4D2F" w:rsidRPr="009B6ED1" w:rsidRDefault="009B4D2F" w:rsidP="0036764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6ED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B4D2F" w:rsidRPr="009B6ED1" w:rsidRDefault="009B4D2F" w:rsidP="0036764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6ED1">
              <w:rPr>
                <w:rFonts w:ascii="Corbel" w:hAnsi="Corbel"/>
                <w:b w:val="0"/>
                <w:sz w:val="24"/>
                <w:szCs w:val="24"/>
              </w:rPr>
              <w:t>Kształtowanie umiejętności niezbędnych dla wykonywania różnych funkcji administracyjnych w organach ścigania, wymiaru sprawiedliwości, w administracji rządowej, samorządowej i gospodarczej, w policji oraz w różnych innych instytucjach i organizacjach.</w:t>
            </w:r>
          </w:p>
        </w:tc>
      </w:tr>
    </w:tbl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4D2F" w:rsidRDefault="009B4D2F" w:rsidP="009B4D2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4D2F" w:rsidRDefault="009B4D2F" w:rsidP="009B4D2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5607"/>
        <w:gridCol w:w="1843"/>
      </w:tblGrid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zna i rozumie</w:t>
            </w:r>
            <w:r w:rsidRPr="009B4D2F">
              <w:rPr>
                <w:rFonts w:ascii="Corbel" w:hAnsi="Corbel" w:cs="Tahoma"/>
                <w:b w:val="0"/>
                <w:color w:val="000000"/>
              </w:rPr>
              <w:t xml:space="preserve"> podstawowe instytucje prawa karnego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W01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</w:t>
            </w:r>
            <w:r w:rsidRPr="009B4D2F">
              <w:rPr>
                <w:rFonts w:ascii="Corbel" w:hAnsi="Corbel"/>
                <w:b w:val="0"/>
                <w:szCs w:val="24"/>
              </w:rPr>
              <w:t xml:space="preserve"> różnice pomiędzy </w:t>
            </w:r>
            <w:r w:rsidRPr="009B4D2F">
              <w:rPr>
                <w:rFonts w:ascii="Corbel" w:hAnsi="Corbel"/>
                <w:b w:val="0"/>
                <w:spacing w:val="-3"/>
                <w:szCs w:val="24"/>
              </w:rPr>
              <w:t>prawem karnym i prawem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W01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zna i rozumie </w:t>
            </w:r>
            <w:r w:rsidRPr="009B4D2F">
              <w:rPr>
                <w:rFonts w:ascii="Corbel" w:hAnsi="Corbel"/>
                <w:b w:val="0"/>
              </w:rPr>
              <w:t xml:space="preserve"> </w:t>
            </w:r>
            <w:r w:rsidRPr="009B4D2F">
              <w:rPr>
                <w:rFonts w:ascii="Corbel" w:hAnsi="Corbel" w:cs="Tahoma"/>
                <w:b w:val="0"/>
                <w:color w:val="000000"/>
              </w:rPr>
              <w:t xml:space="preserve">kary i środki karne, cechy recydywy,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W06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t>potrafi przedstawić</w:t>
            </w:r>
            <w:r w:rsidRPr="009B4D2F">
              <w:rPr>
                <w:rFonts w:ascii="Corbel" w:hAnsi="Corbel" w:cs="Tahoma"/>
                <w:b w:val="0"/>
                <w:color w:val="000000"/>
                <w:szCs w:val="24"/>
              </w:rPr>
              <w:t xml:space="preserve"> zasady odpowiedzialności karnej, zbiegu przestępstw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U06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9B4D2F">
              <w:rPr>
                <w:rFonts w:ascii="Corbel" w:hAnsi="Corbel"/>
                <w:b w:val="0"/>
                <w:szCs w:val="24"/>
              </w:rPr>
              <w:t xml:space="preserve">potrafi wskazać </w:t>
            </w:r>
            <w:r w:rsidRPr="009B4D2F">
              <w:rPr>
                <w:rFonts w:ascii="Corbel" w:hAnsi="Corbel" w:cs="Tahoma"/>
                <w:b w:val="0"/>
                <w:color w:val="000000"/>
                <w:szCs w:val="24"/>
              </w:rPr>
              <w:t>wyłączenia odpowiedzialności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U06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potrafi wskazać</w:t>
            </w:r>
            <w:r w:rsidRPr="009B4D2F">
              <w:rPr>
                <w:rFonts w:ascii="Corbel" w:hAnsi="Corbel" w:cs="Tahoma"/>
                <w:b w:val="0"/>
                <w:color w:val="000000"/>
              </w:rPr>
              <w:t xml:space="preserve"> znaczenie przedawnienia i wybranych przestępstw przeciwko mieniu, zdrowiu i życiu.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U06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 xml:space="preserve">jest gotów docenić </w:t>
            </w:r>
            <w:r w:rsidRPr="009B4D2F">
              <w:rPr>
                <w:rFonts w:ascii="Corbel" w:hAnsi="Corbel" w:cs="Tahoma"/>
                <w:b w:val="0"/>
                <w:color w:val="000000"/>
              </w:rPr>
              <w:t>społeczną i prawną rolę przepisów karnych dla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K07</w:t>
            </w:r>
          </w:p>
        </w:tc>
      </w:tr>
      <w:tr w:rsidR="009B4D2F" w:rsidTr="009B4D2F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9B4D2F">
            <w:pPr>
              <w:pStyle w:val="Punktygwne"/>
              <w:spacing w:before="0" w:after="0" w:line="254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9B4D2F">
              <w:rPr>
                <w:rFonts w:ascii="Corbel" w:hAnsi="Corbel"/>
                <w:b w:val="0"/>
                <w:szCs w:val="24"/>
              </w:rPr>
              <w:t xml:space="preserve">jest </w:t>
            </w:r>
            <w:r>
              <w:rPr>
                <w:rFonts w:ascii="Corbel" w:hAnsi="Corbel"/>
                <w:b w:val="0"/>
                <w:szCs w:val="24"/>
              </w:rPr>
              <w:t>gotów</w:t>
            </w:r>
            <w:r w:rsidRPr="009B4D2F">
              <w:rPr>
                <w:rFonts w:ascii="Corbel" w:hAnsi="Corbel"/>
                <w:b w:val="0"/>
                <w:szCs w:val="24"/>
              </w:rPr>
              <w:t xml:space="preserve"> do korzystania z </w:t>
            </w:r>
            <w:r w:rsidRPr="009B4D2F">
              <w:rPr>
                <w:rFonts w:ascii="Corbel" w:hAnsi="Corbel" w:cs="Tahoma"/>
                <w:b w:val="0"/>
                <w:color w:val="000000"/>
                <w:szCs w:val="24"/>
              </w:rPr>
              <w:t>kodeksu karnego i kodeksu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 w:rsidP="009B4D2F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9B6ED1">
              <w:rPr>
                <w:rFonts w:ascii="Corbel" w:hAnsi="Corbel"/>
                <w:b w:val="0"/>
                <w:szCs w:val="24"/>
              </w:rPr>
              <w:t>K07</w:t>
            </w:r>
          </w:p>
        </w:tc>
      </w:tr>
    </w:tbl>
    <w:p w:rsidR="009B4D2F" w:rsidRDefault="009B4D2F" w:rsidP="009B4D2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B4D2F" w:rsidRDefault="009B4D2F" w:rsidP="00E60CC0">
      <w:pPr>
        <w:pStyle w:val="Akapitzlist"/>
        <w:spacing w:after="0"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4D2F" w:rsidRDefault="009B4D2F" w:rsidP="009B4D2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B4D2F" w:rsidRDefault="009B4D2F" w:rsidP="009B4D2F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Istota i pojęcie bezpieczeństwa i porządku publicznego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Źródła prawa bezpieczeństwa i porządku publicznego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16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 bezpieczeństwa i porządku publicznego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Najważniejsze zagrożenia bezpieczeństwa i porządku publicznego 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>Charakterystyka organów naczelnych administracji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Zasady organizacji i funkcjonowania administracji publicznej w zakresie bezpieczeństwa                         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Organy i podmioty realizujące zadania z zakresu bezpieczeństwa publicznego 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Formy realizacji zadań w zakresie bezpieczeństwa i porządku publicznego 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>Zarządzenie kryzysowe</w:t>
            </w:r>
          </w:p>
        </w:tc>
      </w:tr>
      <w:tr w:rsidR="009B4D2F" w:rsidTr="009B4D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lastRenderedPageBreak/>
              <w:t xml:space="preserve">Stany nadzwyczajne </w:t>
            </w:r>
          </w:p>
        </w:tc>
      </w:tr>
    </w:tbl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>
        <w:rPr>
          <w:rFonts w:ascii="Corbel" w:hAnsi="Corbel"/>
          <w:b w:val="0"/>
          <w:szCs w:val="24"/>
        </w:rPr>
        <w:t>Ćwiczenia - analiza tekstów z dyskusją, projekcja filmu z dyskusją, metoda projektów (projekt badawczy), praca indywidualna oraz w grupach.</w:t>
      </w:r>
    </w:p>
    <w:p w:rsidR="009B4D2F" w:rsidRDefault="009B4D2F" w:rsidP="009B4D2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4D2F" w:rsidRDefault="009B4D2F" w:rsidP="009B4D2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4D2F" w:rsidRDefault="009B4D2F" w:rsidP="009B4D2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4D2F" w:rsidRDefault="009B4D2F" w:rsidP="009B4D2F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6"/>
        <w:gridCol w:w="2066"/>
      </w:tblGrid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spacing w:after="0"/>
              <w:rPr>
                <w:b/>
              </w:rPr>
            </w:pPr>
            <w:r>
              <w:t>Symbol efektu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Metody oceny efektów uczenia się</w:t>
            </w:r>
          </w:p>
          <w:p w:rsidR="009B4D2F" w:rsidRDefault="009B4D2F" w:rsidP="00E60CC0">
            <w:pPr>
              <w:spacing w:after="0"/>
              <w:rPr>
                <w:b/>
              </w:rPr>
            </w:pPr>
            <w:r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 w:rsidP="00E60CC0">
            <w:pPr>
              <w:spacing w:after="0"/>
              <w:rPr>
                <w:b/>
              </w:rPr>
            </w:pPr>
            <w:r>
              <w:t xml:space="preserve">Forma zajęć dydaktycznych </w:t>
            </w:r>
          </w:p>
          <w:p w:rsidR="009B4D2F" w:rsidRDefault="009B4D2F" w:rsidP="00E60CC0">
            <w:pPr>
              <w:spacing w:after="0"/>
              <w:rPr>
                <w:b/>
              </w:rPr>
            </w:pPr>
            <w:r>
              <w:t xml:space="preserve">(w, </w:t>
            </w:r>
            <w:proofErr w:type="spellStart"/>
            <w:r>
              <w:t>ćw</w:t>
            </w:r>
            <w:proofErr w:type="spellEnd"/>
            <w:r>
              <w:t>, …)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EK_01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 xml:space="preserve">- wyniki testu </w:t>
            </w:r>
            <w:proofErr w:type="spellStart"/>
            <w:r w:rsidRPr="009B4D2F">
              <w:rPr>
                <w:sz w:val="24"/>
                <w:szCs w:val="24"/>
              </w:rPr>
              <w:t>śródsemestralnego</w:t>
            </w:r>
            <w:proofErr w:type="spellEnd"/>
            <w:r w:rsidRPr="009B4D2F">
              <w:rPr>
                <w:sz w:val="24"/>
                <w:szCs w:val="24"/>
              </w:rPr>
              <w:t xml:space="preserve"> i końcowego;</w:t>
            </w:r>
          </w:p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EK_02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 xml:space="preserve">- wyniki testu </w:t>
            </w:r>
            <w:proofErr w:type="spellStart"/>
            <w:r w:rsidRPr="009B4D2F">
              <w:rPr>
                <w:sz w:val="24"/>
                <w:szCs w:val="24"/>
              </w:rPr>
              <w:t>śródsemestralnego</w:t>
            </w:r>
            <w:proofErr w:type="spellEnd"/>
            <w:r w:rsidRPr="009B4D2F">
              <w:rPr>
                <w:sz w:val="24"/>
                <w:szCs w:val="24"/>
              </w:rPr>
              <w:t xml:space="preserve"> i końcowego;</w:t>
            </w:r>
          </w:p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EK_03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ocena wypowiedzi studenta podczas zajęć;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efekty pracy studenta w grupie podczas zajęć;</w:t>
            </w:r>
          </w:p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 xml:space="preserve">- ocena odpowiedzi podczas zajęć.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EK_04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ocena wypowiedzi studenta podczas zajęć (w tym wygłoszonego referatu);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udział i efekty pracy studenta w grupie;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obserwacja pracy studenta podczas zajęć;</w:t>
            </w:r>
          </w:p>
          <w:p w:rsidR="009B4D2F" w:rsidRPr="009B4D2F" w:rsidRDefault="009B4D2F" w:rsidP="00E60CC0">
            <w:pPr>
              <w:spacing w:after="0"/>
              <w:rPr>
                <w:b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EK_05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ocena wypowiedzi studenta podczas zajęć (w tym wygłoszonego referatu);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udział i efekty pracy studenta w grupie;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obserwacja pracy studenta podczas zajęć;</w:t>
            </w:r>
          </w:p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EK_06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ocena wypowiedzi studenta podczas zajęć (w tym wygłoszonego referatu);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udział i efekty pracy studenta w grupie;</w:t>
            </w:r>
          </w:p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obserwacja pracy studenta podczas zajęć;</w:t>
            </w:r>
          </w:p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EK_07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ocena wypowiedzi i postawy studenta podczas zajęć;</w:t>
            </w:r>
          </w:p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- ocena udziału studenta w dyskusji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ćwiczenia</w:t>
            </w:r>
          </w:p>
        </w:tc>
      </w:tr>
      <w:tr w:rsidR="009B4D2F" w:rsidTr="009B4D2F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EK_08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sz w:val="24"/>
                <w:szCs w:val="24"/>
              </w:rPr>
            </w:pPr>
            <w:r w:rsidRPr="009B4D2F">
              <w:rPr>
                <w:sz w:val="24"/>
                <w:szCs w:val="24"/>
              </w:rPr>
              <w:t>- udział i efekty pracy studenta w grupie;</w:t>
            </w:r>
          </w:p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- ocena wypowiedzi i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Pr="009B4D2F" w:rsidRDefault="009B4D2F" w:rsidP="00E60CC0">
            <w:pPr>
              <w:spacing w:after="0"/>
              <w:rPr>
                <w:b/>
                <w:szCs w:val="24"/>
              </w:rPr>
            </w:pPr>
            <w:r w:rsidRPr="009B4D2F">
              <w:rPr>
                <w:szCs w:val="24"/>
              </w:rPr>
              <w:t>ćwiczenia</w:t>
            </w:r>
          </w:p>
        </w:tc>
      </w:tr>
    </w:tbl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74E8A" w:rsidP="009B4D2F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9B4D2F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:rsidR="009B4D2F" w:rsidRDefault="009B4D2F" w:rsidP="009B4D2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4D2F" w:rsidTr="009B4D2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8A" w:rsidRDefault="0079218A" w:rsidP="00792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ED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(referat, aktywność na zajęciach, kolokwium –test)</w:t>
            </w:r>
          </w:p>
          <w:p w:rsidR="0079218A" w:rsidRDefault="0079218A" w:rsidP="00792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218A" w:rsidRDefault="0079218A" w:rsidP="00792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Kolokwium:</w:t>
            </w:r>
          </w:p>
          <w:p w:rsidR="0079218A" w:rsidRPr="007A6DD0" w:rsidRDefault="0079218A" w:rsidP="007921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79218A" w:rsidRPr="007A6DD0" w:rsidRDefault="0079218A" w:rsidP="007921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79218A" w:rsidRPr="007A6DD0" w:rsidRDefault="0079218A" w:rsidP="007921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79218A" w:rsidRPr="007A6DD0" w:rsidRDefault="0079218A" w:rsidP="007921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79218A" w:rsidRPr="007A6DD0" w:rsidRDefault="0079218A" w:rsidP="007921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9B4D2F" w:rsidRPr="00E60CC0" w:rsidRDefault="0079218A" w:rsidP="00E60C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6DD0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</w:tc>
      </w:tr>
    </w:tbl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7921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wystąpienia, pracy pisemnej, prezentacji multimedialnej)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921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9B4D2F" w:rsidTr="009B4D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B4D2F" w:rsidRDefault="009B4D2F" w:rsidP="009B4D2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4D2F" w:rsidRDefault="009B4D2F" w:rsidP="009B4D2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4D2F" w:rsidTr="009B4D2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4D2F" w:rsidTr="009B4D2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D2F" w:rsidRDefault="009B4D2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4D2F" w:rsidRDefault="009B4D2F" w:rsidP="009B4D2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4D2F" w:rsidRDefault="009B4D2F" w:rsidP="009B4D2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4D2F" w:rsidTr="009B4D2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8A" w:rsidRDefault="0079218A" w:rsidP="0079218A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A7728E">
              <w:rPr>
                <w:rFonts w:ascii="Corbel" w:hAnsi="Corbel"/>
                <w:b/>
              </w:rPr>
              <w:t>Literatura podstawowa:</w:t>
            </w:r>
          </w:p>
          <w:p w:rsidR="00A7728E" w:rsidRPr="00A7728E" w:rsidRDefault="00A7728E" w:rsidP="0079218A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</w:p>
          <w:p w:rsidR="0079218A" w:rsidRPr="0079218A" w:rsidRDefault="0079218A" w:rsidP="0079218A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9218A">
              <w:rPr>
                <w:rFonts w:ascii="Corbel" w:hAnsi="Corbel" w:cs="Tahoma"/>
                <w:color w:val="000000"/>
              </w:rPr>
              <w:t xml:space="preserve">Gardocki L., Prawo Karne, Warszawa 2017 </w:t>
            </w:r>
          </w:p>
          <w:p w:rsidR="009B4D2F" w:rsidRPr="0079218A" w:rsidRDefault="0079218A" w:rsidP="0079218A">
            <w:pPr>
              <w:pStyle w:val="Punktygwne"/>
              <w:spacing w:before="0" w:after="0" w:line="254" w:lineRule="auto"/>
              <w:ind w:left="709" w:hanging="709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79218A">
              <w:rPr>
                <w:rFonts w:ascii="Corbel" w:hAnsi="Corbel" w:cs="Tahoma"/>
                <w:b w:val="0"/>
                <w:color w:val="000000"/>
              </w:rPr>
              <w:t>Marek A., Prawo wykroczeń (materialne i procesowe), Warszawa 2012</w:t>
            </w:r>
          </w:p>
        </w:tc>
      </w:tr>
      <w:tr w:rsidR="009B4D2F" w:rsidTr="009B4D2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8A" w:rsidRPr="00A7728E" w:rsidRDefault="0079218A" w:rsidP="007921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7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7728E" w:rsidRDefault="00A7728E" w:rsidP="0079218A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</w:pPr>
          </w:p>
          <w:p w:rsidR="0079218A" w:rsidRPr="0079218A" w:rsidRDefault="0079218A" w:rsidP="0079218A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</w:pPr>
            <w:r w:rsidRPr="0079218A"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  <w:t>Konarska-</w:t>
            </w:r>
            <w:proofErr w:type="spellStart"/>
            <w:r w:rsidRPr="0079218A"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  <w:t>Wrzosek</w:t>
            </w:r>
            <w:proofErr w:type="spellEnd"/>
            <w:r w:rsidRPr="0079218A">
              <w:rPr>
                <w:rFonts w:ascii="Corbel" w:hAnsi="Corbel" w:cs="Tahoma"/>
                <w:b w:val="0"/>
                <w:color w:val="000000"/>
                <w:szCs w:val="24"/>
              </w:rPr>
              <w:t xml:space="preserve"> V</w:t>
            </w:r>
            <w:r w:rsidRPr="0079218A"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  <w:t>., Marek A., Oczkowski T., Podstawy prawa karnego i prawa wykroczeń, Toruń 2012</w:t>
            </w:r>
          </w:p>
          <w:p w:rsidR="0079218A" w:rsidRPr="0079218A" w:rsidRDefault="0079218A" w:rsidP="0079218A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  <w:shd w:val="clear" w:color="auto" w:fill="ECECEC"/>
              </w:rPr>
            </w:pPr>
            <w:r w:rsidRPr="0079218A">
              <w:rPr>
                <w:rFonts w:ascii="Corbel" w:hAnsi="Corbel" w:cs="Tahoma"/>
                <w:b w:val="0"/>
                <w:smallCaps w:val="0"/>
                <w:color w:val="000000"/>
                <w:szCs w:val="24"/>
              </w:rPr>
              <w:t>Marek A., Prawo karne, Warszawa 2011</w:t>
            </w:r>
            <w:r w:rsidRPr="0079218A">
              <w:rPr>
                <w:rFonts w:ascii="Corbel" w:hAnsi="Corbel" w:cs="Tahoma"/>
                <w:b w:val="0"/>
                <w:color w:val="000000"/>
                <w:szCs w:val="24"/>
              </w:rPr>
              <w:t xml:space="preserve"> </w:t>
            </w:r>
          </w:p>
          <w:p w:rsidR="0079218A" w:rsidRPr="0079218A" w:rsidRDefault="0079218A" w:rsidP="0079218A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9218A">
              <w:rPr>
                <w:rFonts w:ascii="Corbel" w:hAnsi="Corbel" w:cs="Tahoma"/>
                <w:color w:val="000000"/>
              </w:rPr>
              <w:t>Kodeks karny. Cześć szczególna. Komentarz. T. I-III, red. A. Zoll, Warszawa 2016</w:t>
            </w:r>
          </w:p>
          <w:p w:rsidR="0079218A" w:rsidRPr="0079218A" w:rsidRDefault="0079218A" w:rsidP="0079218A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9218A">
              <w:rPr>
                <w:rFonts w:ascii="Corbel" w:hAnsi="Corbel" w:cs="Tahoma"/>
                <w:color w:val="000000"/>
              </w:rPr>
              <w:lastRenderedPageBreak/>
              <w:t>Bojarski M., Radecki W., Kodeks wykroczeń. Komentarz, Warszawa 2016</w:t>
            </w:r>
          </w:p>
          <w:p w:rsidR="009B4D2F" w:rsidRPr="0079218A" w:rsidRDefault="0079218A" w:rsidP="0079218A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79218A">
              <w:rPr>
                <w:rFonts w:ascii="Corbel" w:hAnsi="Corbel" w:cs="Tahoma"/>
                <w:b w:val="0"/>
                <w:color w:val="000000"/>
              </w:rPr>
              <w:t xml:space="preserve">Współczesne problemy wykroczeń: materialnoprawna i procesowa problematyka wykroczeń, red. I. </w:t>
            </w:r>
            <w:proofErr w:type="spellStart"/>
            <w:r w:rsidRPr="0079218A">
              <w:rPr>
                <w:rFonts w:ascii="Corbel" w:hAnsi="Corbel" w:cs="Tahoma"/>
                <w:b w:val="0"/>
                <w:color w:val="000000"/>
              </w:rPr>
              <w:t>Nawicka</w:t>
            </w:r>
            <w:proofErr w:type="spellEnd"/>
            <w:r w:rsidRPr="0079218A">
              <w:rPr>
                <w:rFonts w:ascii="Corbel" w:hAnsi="Corbel" w:cs="Tahoma"/>
                <w:b w:val="0"/>
                <w:color w:val="000000"/>
              </w:rPr>
              <w:t>, A. Sadło-Nowak, Szczytno 2016</w:t>
            </w:r>
          </w:p>
        </w:tc>
      </w:tr>
    </w:tbl>
    <w:p w:rsidR="009B4D2F" w:rsidRDefault="009B4D2F" w:rsidP="009B4D2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4D2F" w:rsidRDefault="009B4D2F" w:rsidP="009B4D2F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4D2F" w:rsidRDefault="009B4D2F" w:rsidP="009B4D2F"/>
    <w:p w:rsidR="009B4D2F" w:rsidRDefault="009B4D2F" w:rsidP="009B4D2F"/>
    <w:p w:rsidR="00CC18B6" w:rsidRDefault="00CC18B6"/>
    <w:sectPr w:rsidR="00CC18B6" w:rsidSect="00A7728E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F05" w:rsidRDefault="00706F05" w:rsidP="009B4D2F">
      <w:pPr>
        <w:spacing w:after="0" w:line="240" w:lineRule="auto"/>
      </w:pPr>
      <w:r>
        <w:separator/>
      </w:r>
    </w:p>
  </w:endnote>
  <w:endnote w:type="continuationSeparator" w:id="0">
    <w:p w:rsidR="00706F05" w:rsidRDefault="00706F05" w:rsidP="009B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F05" w:rsidRDefault="00706F05" w:rsidP="009B4D2F">
      <w:pPr>
        <w:spacing w:after="0" w:line="240" w:lineRule="auto"/>
      </w:pPr>
      <w:r>
        <w:separator/>
      </w:r>
    </w:p>
  </w:footnote>
  <w:footnote w:type="continuationSeparator" w:id="0">
    <w:p w:rsidR="00706F05" w:rsidRDefault="00706F05" w:rsidP="009B4D2F">
      <w:pPr>
        <w:spacing w:after="0" w:line="240" w:lineRule="auto"/>
      </w:pPr>
      <w:r>
        <w:continuationSeparator/>
      </w:r>
    </w:p>
  </w:footnote>
  <w:footnote w:id="1">
    <w:p w:rsidR="009B4D2F" w:rsidRDefault="009B4D2F" w:rsidP="009B4D2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2E"/>
    <w:rsid w:val="00045FF7"/>
    <w:rsid w:val="000F242E"/>
    <w:rsid w:val="000F7D1A"/>
    <w:rsid w:val="001229E8"/>
    <w:rsid w:val="00311B2B"/>
    <w:rsid w:val="005B2B09"/>
    <w:rsid w:val="00706F05"/>
    <w:rsid w:val="0079218A"/>
    <w:rsid w:val="0081728B"/>
    <w:rsid w:val="00861335"/>
    <w:rsid w:val="00974E8A"/>
    <w:rsid w:val="009B4D2F"/>
    <w:rsid w:val="009B6A18"/>
    <w:rsid w:val="009E1DE9"/>
    <w:rsid w:val="009E44FF"/>
    <w:rsid w:val="00A7728E"/>
    <w:rsid w:val="00CC18B6"/>
    <w:rsid w:val="00D87169"/>
    <w:rsid w:val="00E60CC0"/>
    <w:rsid w:val="00FE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4E9C"/>
  <w15:docId w15:val="{77191B7A-F80D-4DFF-A2C8-AE00218D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4D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4D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4D2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9B4D2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B4D2F"/>
    <w:pPr>
      <w:ind w:left="720"/>
      <w:contextualSpacing/>
    </w:pPr>
  </w:style>
  <w:style w:type="paragraph" w:customStyle="1" w:styleId="Punktygwne">
    <w:name w:val="Punkty główne"/>
    <w:basedOn w:val="Normalny"/>
    <w:rsid w:val="009B4D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4D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4D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4D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4D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4D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4D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4D2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D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D2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D2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D2F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92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Anna Pikus</cp:lastModifiedBy>
  <cp:revision>7</cp:revision>
  <dcterms:created xsi:type="dcterms:W3CDTF">2020-12-02T22:09:00Z</dcterms:created>
  <dcterms:modified xsi:type="dcterms:W3CDTF">2022-03-07T13:07:00Z</dcterms:modified>
</cp:coreProperties>
</file>